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line="400" w:lineRule="exact"/>
        <w:rPr>
          <w:rFonts w:ascii="Times New Roman" w:hAnsi="Times New Roman" w:eastAsia="仿宋_GB2312" w:cs="Times New Roman"/>
          <w:sz w:val="32"/>
          <w:szCs w:val="32"/>
        </w:rPr>
      </w:pPr>
    </w:p>
    <w:p>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2023年度教育部哲学社会科学研究重大课题攻关项目和高校思想政治理论课教师研究</w:t>
      </w:r>
    </w:p>
    <w:p>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pPr>
        <w:spacing w:line="40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——两类重大攻关项目首席专家（投标者）都必须是法人（高等学校）担保的高等学校具有正高级专业技术职称的有关人员，能够担负起课题研究实际组织和指导责任。</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（3）正在承担教育部哲学社会科学研究重大课题攻关项目、高校思想政治理论课教师研究专项重大课题攻关项目的首席专家，在2023年8月25日前未提出最终成果鉴定申请者。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pPr>
        <w:pStyle w:val="4"/>
        <w:tabs>
          <w:tab w:val="left" w:pos="1526"/>
        </w:tabs>
        <w:adjustRightInd w:val="0"/>
        <w:snapToGrid w:val="0"/>
        <w:spacing w:line="580" w:lineRule="exact"/>
        <w:ind w:firstLine="640"/>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——本次项目投标通过网络平台在线申报。2023年7月17日开始，各高校科研管理部门登录教育部社会科学司主页（www.moe.gov.cn/s78/A13/）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2023年8月25日24点截止网络申报，高校科研管理部门须在此之前对本校所投标项目的基本信息进行在线审核确认。</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2023</w:t>
      </w:r>
      <w:bookmarkStart w:id="2" w:name="_GoBack"/>
      <w:bookmarkEnd w:id="2"/>
      <w:r>
        <w:rPr>
          <w:rFonts w:ascii="Times New Roman" w:hAnsi="Times New Roman" w:eastAsia="仿宋_GB2312" w:cs="Times New Roman"/>
          <w:sz w:val="32"/>
          <w:szCs w:val="32"/>
        </w:rPr>
        <w:t>年项目评审程序怎样？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——2023年度重大攻关项目继续实行网上通讯评审。</w:t>
      </w:r>
    </w:p>
    <w:sectPr>
      <w:footerReference r:id="rId3" w:type="default"/>
      <w:pgSz w:w="11906" w:h="16838"/>
      <w:pgMar w:top="1440" w:right="1588" w:bottom="170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603038"/>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CCE61CB"/>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2019</Words>
  <Characters>2102</Characters>
  <Lines>15</Lines>
  <Paragraphs>4</Paragraphs>
  <TotalTime>17</TotalTime>
  <ScaleCrop>false</ScaleCrop>
  <LinksUpToDate>false</LinksUpToDate>
  <CharactersWithSpaces>2103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2023-06-27T01:28:00Z</dcterms:created>
  <dc:creator>haize zhang</dc:creator>
  <cp:lastModifiedBy>lcy</cp:lastModifiedBy>
  <cp:lastPrinted>2022-07-29T03:26:00Z</cp:lastPrinted>
  <dcterms:modified xsi:type="dcterms:W3CDTF">2023-07-07T00:50:01Z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AC15B8A9BA6E4763AA918E71AB9094E4_12</vt:lpwstr>
  </property>
</Properties>
</file>